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4032E0" w14:textId="77777777" w:rsidR="008A6AC8" w:rsidRDefault="008A6AC8">
      <w:pPr>
        <w:spacing w:line="360" w:lineRule="auto"/>
        <w:jc w:val="center"/>
        <w:rPr>
          <w:b/>
          <w:sz w:val="24"/>
          <w:szCs w:val="24"/>
        </w:rPr>
      </w:pPr>
    </w:p>
    <w:p w14:paraId="6BEC93CA" w14:textId="77777777" w:rsidR="008A6AC8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BOLETIM DO PROGRAMA DE COMPLIANCE</w:t>
      </w:r>
    </w:p>
    <w:p w14:paraId="6DEE931B" w14:textId="77777777" w:rsidR="008A6AC8" w:rsidRDefault="008A6AC8">
      <w:pPr>
        <w:spacing w:line="360" w:lineRule="auto"/>
        <w:jc w:val="right"/>
        <w:rPr>
          <w:sz w:val="24"/>
          <w:szCs w:val="24"/>
        </w:rPr>
      </w:pPr>
    </w:p>
    <w:p w14:paraId="748E7435" w14:textId="32D87BE4" w:rsidR="008A6AC8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Edição n.º </w:t>
      </w:r>
      <w:r w:rsidR="00CC58A7">
        <w:rPr>
          <w:sz w:val="24"/>
          <w:szCs w:val="24"/>
        </w:rPr>
        <w:t>4</w:t>
      </w:r>
      <w:r>
        <w:rPr>
          <w:sz w:val="24"/>
          <w:szCs w:val="24"/>
        </w:rPr>
        <w:t xml:space="preserve"> – FEV/2023</w:t>
      </w:r>
    </w:p>
    <w:p w14:paraId="180D09C5" w14:textId="5550520E" w:rsidR="008A6AC8" w:rsidRDefault="00CC58A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Reajustes e cobrança de terceiros inadimplentes</w:t>
      </w:r>
    </w:p>
    <w:p w14:paraId="473C8F6D" w14:textId="77777777" w:rsidR="008A6AC8" w:rsidRDefault="008A6AC8">
      <w:pPr>
        <w:spacing w:line="360" w:lineRule="auto"/>
        <w:jc w:val="both"/>
        <w:rPr>
          <w:sz w:val="24"/>
          <w:szCs w:val="24"/>
        </w:rPr>
      </w:pPr>
    </w:p>
    <w:p w14:paraId="0E167E0C" w14:textId="77777777" w:rsidR="00CC58A7" w:rsidRPr="00CC58A7" w:rsidRDefault="00CC58A7" w:rsidP="00CC58A7">
      <w:pPr>
        <w:spacing w:line="360" w:lineRule="auto"/>
        <w:ind w:firstLine="567"/>
        <w:jc w:val="both"/>
        <w:rPr>
          <w:sz w:val="24"/>
          <w:szCs w:val="24"/>
        </w:rPr>
      </w:pPr>
      <w:r w:rsidRPr="00CC58A7">
        <w:rPr>
          <w:sz w:val="24"/>
          <w:szCs w:val="24"/>
        </w:rPr>
        <w:t xml:space="preserve">Dando seguimento à nossa série de conteúdos sobre o papel do compliance na cooperativa, trataremos da negociação com os planos de saúde no âmbito dos contratos que já estão em andamento. Nos referimos, aqui, a dois momentos: o dos reajustes de honorários e o das cobranças de terceiros inadimplentes.  </w:t>
      </w:r>
    </w:p>
    <w:p w14:paraId="0FEE38E0" w14:textId="77777777" w:rsidR="00CC58A7" w:rsidRPr="00CC58A7" w:rsidRDefault="00CC58A7" w:rsidP="00CC58A7">
      <w:pPr>
        <w:spacing w:line="360" w:lineRule="auto"/>
        <w:ind w:firstLine="567"/>
        <w:jc w:val="both"/>
        <w:rPr>
          <w:sz w:val="24"/>
          <w:szCs w:val="24"/>
        </w:rPr>
      </w:pPr>
      <w:r w:rsidRPr="00CC58A7">
        <w:rPr>
          <w:sz w:val="24"/>
          <w:szCs w:val="24"/>
        </w:rPr>
        <w:t xml:space="preserve">Em linhas gerais, programa de compliance viabiliza a implementação de regras e técnicas de negociação mais efetivas, que garantam maior probabilidade da satisfação dos interesses da cooperativa nas suas relações com terceiros. São elas: a) o exaustivo diálogo regido pela liberdade plena de mercado; b) o registro por escrito de negociações e assuntos de maior relevância tratados em reunião; c) </w:t>
      </w:r>
      <w:proofErr w:type="spellStart"/>
      <w:r w:rsidRPr="00CC58A7">
        <w:rPr>
          <w:sz w:val="24"/>
          <w:szCs w:val="24"/>
        </w:rPr>
        <w:t>due</w:t>
      </w:r>
      <w:proofErr w:type="spellEnd"/>
      <w:r w:rsidRPr="00CC58A7">
        <w:rPr>
          <w:sz w:val="24"/>
          <w:szCs w:val="24"/>
        </w:rPr>
        <w:t xml:space="preserve"> </w:t>
      </w:r>
      <w:proofErr w:type="spellStart"/>
      <w:r w:rsidRPr="00CC58A7">
        <w:rPr>
          <w:sz w:val="24"/>
          <w:szCs w:val="24"/>
        </w:rPr>
        <w:t>diligence</w:t>
      </w:r>
      <w:proofErr w:type="spellEnd"/>
      <w:r w:rsidRPr="00CC58A7">
        <w:rPr>
          <w:sz w:val="24"/>
          <w:szCs w:val="24"/>
        </w:rPr>
        <w:t xml:space="preserve"> dos contratantes, a fim de antecipar informações sobre irregularidades ou histórico de inadimplência de terceiros; d) a atenção constante à atualização das normas aplicáveis ao setor.</w:t>
      </w:r>
    </w:p>
    <w:p w14:paraId="4108AACA" w14:textId="77777777" w:rsidR="00CC58A7" w:rsidRPr="00CC58A7" w:rsidRDefault="00CC58A7" w:rsidP="00CC58A7">
      <w:pPr>
        <w:spacing w:line="360" w:lineRule="auto"/>
        <w:ind w:firstLine="567"/>
        <w:jc w:val="both"/>
        <w:rPr>
          <w:sz w:val="24"/>
          <w:szCs w:val="24"/>
        </w:rPr>
      </w:pPr>
      <w:r w:rsidRPr="00CC58A7">
        <w:rPr>
          <w:sz w:val="24"/>
          <w:szCs w:val="24"/>
        </w:rPr>
        <w:t xml:space="preserve">Mais especificamente, quando falamos em negociação de reajustes de honorários, ou seja, da atualização dos preços originalmente contratados com as operadoras de planos de saúde, o programa de compliance preza pelo bom andamento das tratativas de acordo com as normas vigentes. Atualmente, conforme preveem as Resoluções Normativas ANS n° 503 e 512, de março de 2022, ao final do período de negociação de noventa dias, se não houver acordo entre a cooperativa e o plano, a operadora deverá usar o Índice Nacional de Preços ao Consumidor Amplo – IPCA. </w:t>
      </w:r>
    </w:p>
    <w:p w14:paraId="0BD89C12" w14:textId="0568C83E" w:rsidR="008A6AC8" w:rsidRPr="00CC58A7" w:rsidRDefault="00CC58A7" w:rsidP="00CC58A7">
      <w:pPr>
        <w:spacing w:line="360" w:lineRule="auto"/>
        <w:ind w:firstLine="567"/>
        <w:jc w:val="both"/>
        <w:rPr>
          <w:sz w:val="24"/>
          <w:szCs w:val="24"/>
        </w:rPr>
      </w:pPr>
      <w:r w:rsidRPr="00CC58A7">
        <w:rPr>
          <w:sz w:val="24"/>
          <w:szCs w:val="24"/>
        </w:rPr>
        <w:t>Já quando tratamos da cobrança de terceiros inadimplentes, a conjugação das técnicas de exaustivo diálogo e das regras de registro por escrito das negociações garante a maior efetividade das cobranças pelos meios legais. Nesse sentido, tanto a negociação do pagamento pelo diálogo com os parceiros comerciais da cooperativa, quanto a regularidade documental, ambas incentivadas pelo programa de compliance, serão determinantes para reduzir a inadimplência de terceiros perante a cooperativa.</w:t>
      </w:r>
    </w:p>
    <w:sectPr w:rsidR="008A6AC8" w:rsidRPr="00CC58A7">
      <w:headerReference w:type="default" r:id="rId6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4394" w14:textId="77777777" w:rsidR="00D87DB9" w:rsidRDefault="00D87DB9">
      <w:pPr>
        <w:spacing w:line="240" w:lineRule="auto"/>
      </w:pPr>
      <w:r>
        <w:separator/>
      </w:r>
    </w:p>
  </w:endnote>
  <w:endnote w:type="continuationSeparator" w:id="0">
    <w:p w14:paraId="789A797A" w14:textId="77777777" w:rsidR="00D87DB9" w:rsidRDefault="00D87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E44E" w14:textId="77777777" w:rsidR="00D87DB9" w:rsidRDefault="00D87DB9">
      <w:pPr>
        <w:spacing w:line="240" w:lineRule="auto"/>
      </w:pPr>
      <w:r>
        <w:separator/>
      </w:r>
    </w:p>
  </w:footnote>
  <w:footnote w:type="continuationSeparator" w:id="0">
    <w:p w14:paraId="4265E4E1" w14:textId="77777777" w:rsidR="00D87DB9" w:rsidRDefault="00D87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B17" w14:textId="77777777" w:rsidR="008A6AC8" w:rsidRDefault="00000000">
    <w:pPr>
      <w:ind w:left="-566"/>
      <w:jc w:val="center"/>
    </w:pPr>
    <w:r>
      <w:rPr>
        <w:noProof/>
      </w:rPr>
      <w:drawing>
        <wp:inline distT="114300" distB="114300" distL="114300" distR="114300" wp14:anchorId="43D6860C" wp14:editId="17E14690">
          <wp:extent cx="5074462" cy="96613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4462" cy="966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C2C8B9" w14:textId="77777777" w:rsidR="008A6AC8" w:rsidRDefault="008A6AC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C8"/>
    <w:rsid w:val="008A6AC8"/>
    <w:rsid w:val="00CC58A7"/>
    <w:rsid w:val="00D87DB9"/>
    <w:rsid w:val="00F4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07D1"/>
  <w15:docId w15:val="{EB268293-4A56-4A86-B473-B631365F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Buerger</cp:lastModifiedBy>
  <cp:revision>2</cp:revision>
  <dcterms:created xsi:type="dcterms:W3CDTF">2023-03-06T18:41:00Z</dcterms:created>
  <dcterms:modified xsi:type="dcterms:W3CDTF">2023-03-06T18:41:00Z</dcterms:modified>
</cp:coreProperties>
</file>